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3/22/2022</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7" name="image2.png"/>
                  <a:graphic>
                    <a:graphicData uri="http://schemas.openxmlformats.org/drawingml/2006/picture">
                      <pic:pic>
                        <pic:nvPicPr>
                          <pic:cNvPr id="0" name="image2.png"/>
                          <pic:cNvPicPr preferRelativeResize="0"/>
                        </pic:nvPicPr>
                        <pic:blipFill>
                          <a:blip r:embed="rId7"/>
                          <a:srcRect b="125" l="0" r="0" t="125"/>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M30PE delivers 100 cfm at 100 psi with a compact, low emission design.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NEW </w:t>
      </w:r>
      <w:r w:rsidDel="00000000" w:rsidR="00000000" w:rsidRPr="00000000">
        <w:rPr>
          <w:b w:val="1"/>
          <w:sz w:val="36"/>
          <w:szCs w:val="36"/>
          <w:rtl w:val="0"/>
        </w:rPr>
        <w:t xml:space="preserve">M30PE </w:t>
      </w:r>
      <w:r w:rsidDel="00000000" w:rsidR="00000000" w:rsidRPr="00000000">
        <w:rPr>
          <w:b w:val="1"/>
          <w:sz w:val="36"/>
          <w:szCs w:val="36"/>
          <w:rtl w:val="0"/>
        </w:rPr>
        <w:t xml:space="preserve">DELIVERS 100 CFM</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Low emissions, reliable in all conditions, and designed for heavy-duty performance.</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color w:val="ff0000"/>
        </w:rPr>
      </w:pPr>
      <w:r w:rsidDel="00000000" w:rsidR="00000000" w:rsidRPr="00000000">
        <w:rPr>
          <w:rtl w:val="0"/>
        </w:rPr>
        <w:t xml:space="preserve">Kaeser’s new M30PE Mobilair™ portable compressor offers heavy-duty performance in a lightweight package. This compact unit delivers up to 100 cfm at 100 psig and has been optimized for low noise and emission levels. The tough, dependable M30PE features a non-scratch, dent and temperature-resistant, molded polymer shell and is perfectly suited for construction, demolition, and other heavy-duty uses.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Standard features include the power saving Sigma </w:t>
      </w:r>
      <w:r w:rsidDel="00000000" w:rsidR="00000000" w:rsidRPr="00000000">
        <w:rPr>
          <w:rtl w:val="0"/>
        </w:rPr>
        <w:t xml:space="preserve">Profil</w:t>
      </w:r>
      <w:r w:rsidDel="00000000" w:rsidR="00000000" w:rsidRPr="00000000">
        <w:rPr>
          <w:rtl w:val="0"/>
        </w:rPr>
        <w:t xml:space="preserve">e airend and a reliable, fuel efficient Kubota diesel engine meeting Final Tier 4 specifications.  The one piece canopy allows quick access to all service points. Torsion bar suspension system, oversized tires, and a lightweight, compact design provide superior road handling and onsite maneuverability. The M30PE also features Kaeser’s anti-frost control to protect and extend the life of pneumatic tools in cold weather.</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Mobilair™ compressors are available in a wide range of sizes. For more information, visit us at </w:t>
      </w:r>
      <w:hyperlink r:id="rId9">
        <w:r w:rsidDel="00000000" w:rsidR="00000000" w:rsidRPr="00000000">
          <w:rPr>
            <w:color w:val="1155cc"/>
            <w:u w:val="single"/>
            <w:rtl w:val="0"/>
          </w:rPr>
          <w:t xml:space="preserve">us.kaeser.com/mobilair</w:t>
        </w:r>
      </w:hyperlink>
      <w:r w:rsidDel="00000000" w:rsidR="00000000" w:rsidRPr="00000000">
        <w:rPr>
          <w:rtl w:val="0"/>
        </w:rPr>
        <w:t xml:space="preserve"> or call us at (877) 417-3527.</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2022 Kaeser Compressors, Inc. All Rights Reserved.</w:t>
          </w:r>
        </w:p>
      </w:tc>
    </w:tr>
  </w:tbl>
  <w:p w:rsidR="00000000" w:rsidDel="00000000" w:rsidP="00000000" w:rsidRDefault="00000000" w:rsidRPr="00000000" w14:paraId="0000002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6.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s.kaeser.com/mobilair/?utm_source=PR&amp;utm_medium=PR"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2.png"/><Relationship Id="rId8" Type="http://schemas.openxmlformats.org/officeDocument/2006/relationships/hyperlink" Target="https://us.kaeser.com/about-us/press/press-downloads/?download=360&amp;utm_source=PR&amp;utm_medium=PR" TargetMode="External"/><Relationship Id="rId11" Type="http://schemas.openxmlformats.org/officeDocument/2006/relationships/image" Target="media/image7.png"/><Relationship Id="rId10" Type="http://schemas.openxmlformats.org/officeDocument/2006/relationships/hyperlink" Target="http://www.facebook.com/kaeserusa" TargetMode="External"/><Relationship Id="rId13" Type="http://schemas.openxmlformats.org/officeDocument/2006/relationships/image" Target="media/image5.png"/><Relationship Id="rId12" Type="http://schemas.openxmlformats.org/officeDocument/2006/relationships/hyperlink" Target="http://www.twitter.com/kaeserusa" TargetMode="External"/><Relationship Id="rId15" Type="http://schemas.openxmlformats.org/officeDocument/2006/relationships/image" Target="media/image3.png"/><Relationship Id="rId14" Type="http://schemas.openxmlformats.org/officeDocument/2006/relationships/hyperlink" Target="http://www.linkedin.com/company/kaeser-compressors" TargetMode="External"/><Relationship Id="rId17" Type="http://schemas.openxmlformats.org/officeDocument/2006/relationships/image" Target="media/image4.png"/><Relationship Id="rId16" Type="http://schemas.openxmlformats.org/officeDocument/2006/relationships/hyperlink" Target="http://www.kaesertalksshop.com/" TargetMode="External"/><Relationship Id="rId19" Type="http://schemas.openxmlformats.org/officeDocument/2006/relationships/image" Target="media/image8.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