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11/16/2022</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8" name="image4.png"/>
                  <a:graphic>
                    <a:graphicData uri="http://schemas.openxmlformats.org/drawingml/2006/picture">
                      <pic:pic>
                        <pic:nvPicPr>
                          <pic:cNvPr id="0" name="image4.png"/>
                          <pic:cNvPicPr preferRelativeResize="0"/>
                        </pic:nvPicPr>
                        <pic:blipFill>
                          <a:blip r:embed="rId7"/>
                          <a:srcRect b="14776" l="0" r="0" t="14776"/>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Kaeser’s pink M59PE auction raises over $20,000 for Breast Cancer Research Foundation.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Compressor for a Cure Raises Over $20,000</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Kaeser’s special pink M59PE was auctioned off to the highest bidder and all proceeds were donated to Breast Cancer Research Foundation. </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shd w:fill="ffffff" w:val="clear"/>
        <w:rPr/>
      </w:pPr>
      <w:r w:rsidDel="00000000" w:rsidR="00000000" w:rsidRPr="00000000">
        <w:rPr>
          <w:rtl w:val="0"/>
        </w:rPr>
        <w:t xml:space="preserve">Kaeser Compressors, Inc.’s Compressor for a Cure has raised over $20,000 for the Breast Cancer Research Foundation.  While many companies use October to increase awareness for Breast Cancer screening and prevention, Kaeser believes that what we really need is research to find a cure!  Accordingly, Kaeser auctioned off a one-of-a-kind M59PE portable unit - calling it our “Compressor for a Cure.” </w:t>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t xml:space="preserve">The auction began on National Mammogram Day, October 21st and concluded on October 31st with 25 bids raising $21,700 which will be added to individual employee donations for a total of $23,120! Kaeser will donate 100% of the proceeds.   “While great strides have been made, too many of our family members and friends are still impacted by breast cancer,” said Frank Mueller, President of Kaeser Compressors, Inc. “We believe meaningful progress towards a cure can be made with more funding for research and want to be part of that effort.” </w:t>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tl w:val="0"/>
        </w:rPr>
        <w:t xml:space="preserve">Breast Cancer is the most common cancer in women worldwide with approximately 2.3 million women diagnosed in 2021. It is the second leading cause of cancer death in American women, and tragically, incidence rates are on the rise. For more information on how you can contribute to breast cancer research, please visit </w:t>
      </w:r>
      <w:hyperlink r:id="rId9">
        <w:r w:rsidDel="00000000" w:rsidR="00000000" w:rsidRPr="00000000">
          <w:rPr>
            <w:color w:val="1155cc"/>
            <w:u w:val="single"/>
            <w:rtl w:val="0"/>
          </w:rPr>
          <w:t xml:space="preserve">bcrf.org</w:t>
        </w:r>
      </w:hyperlink>
      <w:r w:rsidDel="00000000" w:rsidR="00000000" w:rsidRPr="00000000">
        <w:rPr>
          <w:rtl w:val="0"/>
        </w:rPr>
        <w:t xml:space="preserve">. For more information on Kaeser’s efforts in our community and our shared environment, visit </w:t>
      </w:r>
      <w:hyperlink r:id="rId10">
        <w:r w:rsidDel="00000000" w:rsidR="00000000" w:rsidRPr="00000000">
          <w:rPr>
            <w:color w:val="1155cc"/>
            <w:u w:val="single"/>
            <w:rtl w:val="0"/>
          </w:rPr>
          <w:t xml:space="preserve">us.kaeser.com/goyellowbegreen.</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jc w:val="center"/>
        <w:rPr/>
      </w:pPr>
      <w:hyperlink r:id="rId11">
        <w:r w:rsidDel="00000000" w:rsidR="00000000" w:rsidRPr="00000000">
          <w:rPr>
            <w:color w:val="1155cc"/>
            <w:u w:val="single"/>
          </w:rPr>
          <w:drawing>
            <wp:inline distB="114300" distT="114300" distL="114300" distR="114300">
              <wp:extent cx="304800" cy="304800"/>
              <wp:effectExtent b="0" l="0" r="0" t="0"/>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04800" cy="304800"/>
                      </a:xfrm>
                      <a:prstGeom prst="rect"/>
                      <a:ln/>
                    </pic:spPr>
                  </pic:pic>
                </a:graphicData>
              </a:graphic>
            </wp:inline>
          </w:drawing>
        </w:r>
      </w:hyperlink>
      <w:hyperlink r:id="rId13">
        <w:r w:rsidDel="00000000" w:rsidR="00000000" w:rsidRPr="00000000">
          <w:rPr>
            <w:color w:val="1155cc"/>
            <w:u w:val="single"/>
          </w:rPr>
          <w:drawing>
            <wp:inline distB="114300" distT="114300" distL="114300" distR="114300">
              <wp:extent cx="304800" cy="304800"/>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04800" cy="304800"/>
                      </a:xfrm>
                      <a:prstGeom prst="rect"/>
                      <a:ln/>
                    </pic:spPr>
                  </pic:pic>
                </a:graphicData>
              </a:graphic>
            </wp:inline>
          </w:drawing>
        </w:r>
      </w:hyperlink>
      <w:hyperlink r:id="rId15">
        <w:r w:rsidDel="00000000" w:rsidR="00000000" w:rsidRPr="00000000">
          <w:rPr>
            <w:color w:val="1155cc"/>
            <w:u w:val="single"/>
          </w:rPr>
          <w:drawing>
            <wp:inline distB="114300" distT="114300" distL="114300" distR="114300">
              <wp:extent cx="304800" cy="304800"/>
              <wp:effectExtent b="0" l="0" r="0" t="0"/>
              <wp:docPr id="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304800" cy="304800"/>
                      </a:xfrm>
                      <a:prstGeom prst="rect"/>
                      <a:ln/>
                    </pic:spPr>
                  </pic:pic>
                </a:graphicData>
              </a:graphic>
            </wp:inline>
          </w:drawing>
        </w:r>
      </w:hyperlink>
      <w:hyperlink r:id="rId17">
        <w:r w:rsidDel="00000000" w:rsidR="00000000" w:rsidRPr="00000000">
          <w:rPr>
            <w:color w:val="1155cc"/>
            <w:u w:val="single"/>
          </w:rPr>
          <w:drawing>
            <wp:inline distB="114300" distT="114300" distL="114300" distR="114300">
              <wp:extent cx="304800" cy="304800"/>
              <wp:effectExtent b="0" l="0" r="0" t="0"/>
              <wp:docPr id="4"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04800" cy="304800"/>
                      </a:xfrm>
                      <a:prstGeom prst="rect"/>
                      <a:ln/>
                    </pic:spPr>
                  </pic:pic>
                </a:graphicData>
              </a:graphic>
            </wp:inline>
          </w:drawing>
        </w:r>
      </w:hyperlink>
      <w:hyperlink r:id="rId19">
        <w:r w:rsidDel="00000000" w:rsidR="00000000" w:rsidRPr="00000000">
          <w:rPr>
            <w:color w:val="1155cc"/>
            <w:u w:val="single"/>
          </w:rPr>
          <w:drawing>
            <wp:inline distB="114300" distT="114300" distL="114300" distR="114300">
              <wp:extent cx="304800" cy="304800"/>
              <wp:effectExtent b="0" l="0" r="0" t="0"/>
              <wp:docPr id="1"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304800" cy="304800"/>
                      </a:xfrm>
                      <a:prstGeom prst="rect"/>
                      <a:ln/>
                    </pic:spPr>
                  </pic:pic>
                </a:graphicData>
              </a:graphic>
            </wp:inline>
          </w:drawing>
        </w:r>
      </w:hyperlink>
      <w:hyperlink r:id="rId21">
        <w:r w:rsidDel="00000000" w:rsidR="00000000" w:rsidRPr="00000000">
          <w:rPr>
            <w:color w:val="1155cc"/>
            <w:u w:val="single"/>
          </w:rPr>
          <w:drawing>
            <wp:inline distB="114300" distT="114300" distL="114300" distR="114300">
              <wp:extent cx="304800" cy="304800"/>
              <wp:effectExtent b="0" l="0" r="0" t="0"/>
              <wp:docPr id="5"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sectPr>
      <w:headerReference r:id="rId23" w:type="default"/>
      <w:headerReference r:id="rId24" w:type="first"/>
      <w:footerReference r:id="rId25" w:type="default"/>
      <w:footerReference r:id="rId26"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2022 Kaeser Compressors, Inc. All Rights Reserved.</w:t>
          </w:r>
        </w:p>
      </w:tc>
    </w:tr>
  </w:tbl>
  <w:p w:rsidR="00000000" w:rsidDel="00000000" w:rsidP="00000000" w:rsidRDefault="00000000" w:rsidRPr="00000000" w14:paraId="0000002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3"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3.png"/><Relationship Id="rId21" Type="http://schemas.openxmlformats.org/officeDocument/2006/relationships/hyperlink" Target="https://www.instagram.com/kaeserusa/"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ve.bcrf.org/compressor4acure"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4.png"/><Relationship Id="rId8" Type="http://schemas.openxmlformats.org/officeDocument/2006/relationships/hyperlink" Target="https://us.kaeser.com/about-us/press/press-downloads/?download=363&amp;utm_source=PR&amp;utm_medium=PR" TargetMode="External"/><Relationship Id="rId11" Type="http://schemas.openxmlformats.org/officeDocument/2006/relationships/hyperlink" Target="http://www.facebook.com/kaeserusa" TargetMode="External"/><Relationship Id="rId10" Type="http://schemas.openxmlformats.org/officeDocument/2006/relationships/hyperlink" Target="https://us.kaeser.com/about-us/environmental-responsibility" TargetMode="External"/><Relationship Id="rId13" Type="http://schemas.openxmlformats.org/officeDocument/2006/relationships/hyperlink" Target="http://www.twitter.com/kaeserusa" TargetMode="External"/><Relationship Id="rId12" Type="http://schemas.openxmlformats.org/officeDocument/2006/relationships/image" Target="media/image8.png"/><Relationship Id="rId15" Type="http://schemas.openxmlformats.org/officeDocument/2006/relationships/hyperlink" Target="http://www.linkedin.com/company/kaeser-compressors" TargetMode="External"/><Relationship Id="rId14" Type="http://schemas.openxmlformats.org/officeDocument/2006/relationships/image" Target="media/image2.png"/><Relationship Id="rId17" Type="http://schemas.openxmlformats.org/officeDocument/2006/relationships/hyperlink" Target="http://www.kaesertalksshop.com/" TargetMode="External"/><Relationship Id="rId16" Type="http://schemas.openxmlformats.org/officeDocument/2006/relationships/image" Target="media/image1.png"/><Relationship Id="rId19" Type="http://schemas.openxmlformats.org/officeDocument/2006/relationships/hyperlink" Target="http://www.youtube.com/kaeserusa" TargetMode="External"/><Relationship Id="rId18"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